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6F47" w14:textId="77777777" w:rsidR="00C66970" w:rsidRPr="001C754F" w:rsidRDefault="00C66970" w:rsidP="00C66970">
      <w:pPr>
        <w:pStyle w:val="Antrats"/>
        <w:tabs>
          <w:tab w:val="clear" w:pos="4320"/>
          <w:tab w:val="clear" w:pos="8640"/>
        </w:tabs>
        <w:spacing w:line="360" w:lineRule="auto"/>
        <w:jc w:val="center"/>
        <w:rPr>
          <w:b/>
        </w:rPr>
      </w:pPr>
      <w:r>
        <w:rPr>
          <w:b/>
        </w:rPr>
        <w:t>RE</w:t>
      </w:r>
      <w:r w:rsidRPr="001C754F">
        <w:rPr>
          <w:b/>
        </w:rPr>
        <w:t>KOMENDACIJŲ ĮGYVENDINIMO PLANAS</w:t>
      </w:r>
    </w:p>
    <w:p w14:paraId="0083A75A" w14:textId="77777777" w:rsidR="00C66970" w:rsidRPr="007520FC" w:rsidRDefault="00C66970" w:rsidP="00C66970">
      <w:pPr>
        <w:pStyle w:val="Antrats"/>
        <w:tabs>
          <w:tab w:val="clear" w:pos="4320"/>
          <w:tab w:val="clear" w:pos="8640"/>
        </w:tabs>
        <w:spacing w:line="360" w:lineRule="auto"/>
        <w:ind w:left="720"/>
        <w:jc w:val="center"/>
        <w:rPr>
          <w:b/>
          <w:lang w:val="en-US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330"/>
        <w:gridCol w:w="1620"/>
        <w:gridCol w:w="2160"/>
        <w:gridCol w:w="1711"/>
      </w:tblGrid>
      <w:tr w:rsidR="00C66970" w:rsidRPr="00074E91" w14:paraId="74770C63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CFC8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 xml:space="preserve">Rekomendacijos eilės numeris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0C52" w14:textId="77777777" w:rsidR="00C66970" w:rsidRPr="00074E91" w:rsidRDefault="00C66970" w:rsidP="00A27963">
            <w:pPr>
              <w:ind w:right="68"/>
              <w:jc w:val="center"/>
              <w:rPr>
                <w:bCs/>
                <w:sz w:val="22"/>
                <w:szCs w:val="22"/>
              </w:rPr>
            </w:pPr>
            <w:r w:rsidRPr="00074E91">
              <w:rPr>
                <w:bCs/>
                <w:sz w:val="22"/>
                <w:szCs w:val="22"/>
              </w:rPr>
              <w:t>Rekomendacija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4A81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Subjektas, kuriam pateikta rekomendacija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10DA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Veiksmas/</w:t>
            </w:r>
          </w:p>
          <w:p w14:paraId="28B25ACE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Priemonės/</w:t>
            </w:r>
          </w:p>
          <w:p w14:paraId="5D5261FB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Komentarai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F86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Rekomendacijos įgyvendinimo terminas (data)</w:t>
            </w:r>
          </w:p>
        </w:tc>
      </w:tr>
      <w:tr w:rsidR="00C66970" w:rsidRPr="00074E91" w14:paraId="27EEB2AE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2176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A22" w14:textId="77777777" w:rsidR="00C66970" w:rsidRPr="00074E91" w:rsidRDefault="00C66970" w:rsidP="00A27963">
            <w:pPr>
              <w:ind w:right="68"/>
              <w:rPr>
                <w:bCs/>
                <w:sz w:val="22"/>
                <w:szCs w:val="22"/>
              </w:rPr>
            </w:pPr>
            <w:r w:rsidRPr="00074E91">
              <w:rPr>
                <w:sz w:val="22"/>
                <w:szCs w:val="22"/>
                <w:lang w:eastAsia="lt-LT"/>
              </w:rPr>
              <w:t xml:space="preserve">Atsižvelgiant į teisės aktų pokyčius, inicijuoti Mokinių nemokamo maitinimo savivaldybės ir nevalstybinėse mokyklose tvarkos aprašo papildymą, numatant jame </w:t>
            </w:r>
            <w:r w:rsidRPr="00074E91">
              <w:rPr>
                <w:sz w:val="22"/>
                <w:szCs w:val="22"/>
              </w:rPr>
              <w:t>mokinių nemokamo maitinimo organizavimo ekstremaliosios situacijos, ekstremaliojo įvykio ir (ar) karantino metu sąlygas ir  tvarką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F7204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Savivaldybės administracija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F139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584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037241BA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C14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DF4" w14:textId="77777777" w:rsidR="00C66970" w:rsidRPr="00074E91" w:rsidRDefault="00C66970" w:rsidP="00A27963">
            <w:pPr>
              <w:pStyle w:val="Antrats"/>
              <w:rPr>
                <w:bCs/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Atsižvelgiant į savivaldybės administracijos struktūros pokyčius, inicijuoti Maitinimo organizavimo Vilniaus miesto savivaldybės bendrojo ugdymo mokyklose tvarkos aprašo pakeitimus, numatant jame maitinimo organizavimo proceso priežiūros ir kontrolės funkcijas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D671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Savivaldybės administracijai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DDD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E79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1B5E34C2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20E9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74E91">
              <w:rPr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829" w14:textId="77777777" w:rsidR="00C66970" w:rsidRPr="0000025A" w:rsidRDefault="00C66970" w:rsidP="00A27963">
            <w:pPr>
              <w:pStyle w:val="Antrats"/>
              <w:rPr>
                <w:bCs/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Siekiant, kad viešieji pirkimai būtų atlikti pagal nustatytus teisės aktų reikalavimus, inicijuoti sprendimų priėmimą dėl maitinimo paslaugų centralizuotų viešųjų pirkimų organizavimo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9461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Savivaldybės administracijai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2E1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C1C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33B71124" w14:textId="77777777" w:rsidTr="00A27963">
        <w:trPr>
          <w:trHeight w:val="3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AE01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0055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iCs/>
                <w:sz w:val="22"/>
                <w:szCs w:val="22"/>
              </w:rPr>
              <w:t>Siekiant, kad švietimo įstaigas lankančių vaikų tėvai gauti aktualią informaciją, susijusią su vaikų maitinimu, mokyklos interneto svetainėje paskelbti su mokinių maitinimu susijusią privalomą skelbti informaciją.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778C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852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FD4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41EA8920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5ED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264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iCs/>
                <w:sz w:val="22"/>
                <w:szCs w:val="22"/>
              </w:rPr>
              <w:t>Siekiant užtikrinti pirkimų skaidrumą įsigyjant mokinių maitinimo paslaugas, teisės aktų nustatyta tvarka interneto svetainėje paskelbti visą su pirkimų procesu, sudarytomis maitinimo paslaugų sutartimis, susijusią informaciją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B022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EF7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909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65A89B17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55B5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CBA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iCs/>
                <w:sz w:val="22"/>
                <w:szCs w:val="22"/>
              </w:rPr>
              <w:t>Siekiant, kad teisingai būtų pasirinktas maitinimo paslaugų viešojo pirkimo būdas, į numatomo pirkimo vertę įskaičiuoti visas maitinimo paslaugas, už kurias tiekėjas gauna pajamas.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6B99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FC2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1A5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6812CE15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B62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2E7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Įpareigoti viešųjų pirkimų organizatorius, viešųjų pirkimų komisijų narius Vyriausiajai tarnybinės etikos komisijai pateikti privačių interesų deklaracijas ir tinkamai deklaruotų savo kaip viešųjų pirkimų organizatorių/viešųjų pirkimų komisijų narių statusą.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A983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FF60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D838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13BFF9EC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1A4" w14:textId="77777777" w:rsidR="00C66970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A4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Centrinėje viešųjų pirkimų informacinėje sistemoje skelbti su maitinimo paslaugų tiekėjais sudarytas maitinimo paslaugų sutartis.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46FB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F32F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3068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331C0ACD" w14:textId="77777777" w:rsidTr="00A27963">
        <w:trPr>
          <w:trHeight w:val="7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B31" w14:textId="77777777" w:rsidR="00C66970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314" w14:textId="77777777" w:rsidR="00C66970" w:rsidRPr="0000025A" w:rsidRDefault="00C66970" w:rsidP="00A27963">
            <w:pPr>
              <w:pStyle w:val="Antrats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Su maisto paslaugų tiekėjais sudaryti patalpų nuomos sutartis.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9CA8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36E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A1A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  <w:tr w:rsidR="00C66970" w:rsidRPr="00074E91" w14:paraId="50D2CBFD" w14:textId="77777777" w:rsidTr="00A27963">
        <w:trPr>
          <w:trHeight w:val="124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2EC4" w14:textId="77777777" w:rsidR="00C66970" w:rsidRDefault="00C66970" w:rsidP="00A2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FC4E" w14:textId="77777777" w:rsidR="00C66970" w:rsidRPr="0000025A" w:rsidRDefault="00C66970" w:rsidP="00A27963">
            <w:pPr>
              <w:jc w:val="both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 xml:space="preserve">Paskirti atsakingus asmenis už maitinimo paslaugų ir patalpų nuomos sutarčių sąlygų vykdymo kontrolę.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13C7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  <w:r w:rsidRPr="0000025A">
              <w:rPr>
                <w:sz w:val="22"/>
                <w:szCs w:val="22"/>
              </w:rPr>
              <w:t>Bendrojo ugdymo švietimo įstaigoms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229" w14:textId="77777777" w:rsidR="00C66970" w:rsidRPr="00074E91" w:rsidRDefault="00C66970" w:rsidP="00A27963">
            <w:pPr>
              <w:pStyle w:val="Antrats"/>
              <w:tabs>
                <w:tab w:val="left" w:pos="1296"/>
              </w:tabs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2B5" w14:textId="77777777" w:rsidR="00C66970" w:rsidRPr="00074E91" w:rsidRDefault="00C66970" w:rsidP="00A279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9C4AFD" w14:textId="48AFA347" w:rsidR="004847D3" w:rsidRDefault="007D34C5">
      <w:r>
        <w:t>Duomenys apie nepaviešintą teisės aktuose nurodytą informaciją – maitinimo organizavimas karantino metu.</w:t>
      </w:r>
    </w:p>
    <w:p w14:paraId="1517B42F" w14:textId="77777777" w:rsidR="007D34C5" w:rsidRDefault="007D34C5">
      <w:bookmarkStart w:id="0" w:name="_GoBack"/>
      <w:bookmarkEnd w:id="0"/>
    </w:p>
    <w:sectPr w:rsidR="007D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0"/>
    <w:rsid w:val="004847D3"/>
    <w:rsid w:val="00564AC5"/>
    <w:rsid w:val="007D34C5"/>
    <w:rsid w:val="00C6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3482"/>
  <w15:chartTrackingRefBased/>
  <w15:docId w15:val="{F834E351-D7B0-48BA-86E5-42031B9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66970"/>
    <w:pPr>
      <w:tabs>
        <w:tab w:val="center" w:pos="4320"/>
        <w:tab w:val="right" w:pos="864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6970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</dc:creator>
  <cp:keywords/>
  <dc:description/>
  <cp:lastModifiedBy>Administracija</cp:lastModifiedBy>
  <cp:revision>2</cp:revision>
  <dcterms:created xsi:type="dcterms:W3CDTF">2021-05-17T11:36:00Z</dcterms:created>
  <dcterms:modified xsi:type="dcterms:W3CDTF">2021-05-26T13:50:00Z</dcterms:modified>
</cp:coreProperties>
</file>